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A7F1" w14:textId="1DBDADD3" w:rsidR="008F7D73" w:rsidRPr="008C1FDB" w:rsidRDefault="008F7D73" w:rsidP="008F7D73">
      <w:pPr>
        <w:pStyle w:val="a5"/>
        <w:jc w:val="center"/>
        <w:rPr>
          <w:b/>
          <w:bCs/>
          <w:sz w:val="32"/>
          <w:szCs w:val="32"/>
        </w:rPr>
      </w:pPr>
      <w:r w:rsidRPr="008C1FDB">
        <w:rPr>
          <w:b/>
          <w:bCs/>
          <w:sz w:val="32"/>
          <w:szCs w:val="32"/>
        </w:rPr>
        <w:t>202</w:t>
      </w:r>
      <w:r w:rsidR="00286A03">
        <w:rPr>
          <w:rFonts w:hint="eastAsia"/>
          <w:b/>
          <w:bCs/>
          <w:sz w:val="32"/>
          <w:szCs w:val="32"/>
        </w:rPr>
        <w:t>5</w:t>
      </w:r>
      <w:r w:rsidRPr="008C1FDB">
        <w:rPr>
          <w:b/>
          <w:bCs/>
          <w:sz w:val="32"/>
          <w:szCs w:val="32"/>
        </w:rPr>
        <w:t xml:space="preserve"> Academic Year Four-year Academia Cooperative Degree Overseas Youth Vocational Training Program (OYVTP)</w:t>
      </w:r>
    </w:p>
    <w:p w14:paraId="5AB75AC9" w14:textId="65EEA785" w:rsidR="008F7D73" w:rsidRPr="00BA1B1F" w:rsidRDefault="008F7D73" w:rsidP="008F7D73">
      <w:pPr>
        <w:pStyle w:val="a5"/>
        <w:jc w:val="center"/>
        <w:rPr>
          <w:sz w:val="28"/>
          <w:szCs w:val="28"/>
        </w:rPr>
      </w:pPr>
      <w:r w:rsidRPr="00BA1B1F">
        <w:rPr>
          <w:rFonts w:hint="eastAsia"/>
          <w:sz w:val="28"/>
          <w:szCs w:val="28"/>
        </w:rPr>
        <w:t>Myanmar and Northern Thailand Subject Test Questionnaire</w:t>
      </w:r>
    </w:p>
    <w:p w14:paraId="41A7C0F2" w14:textId="35EF0A23" w:rsidR="008F7D73" w:rsidRPr="009321BC" w:rsidRDefault="005C2207">
      <w:pPr>
        <w:pStyle w:val="Standard"/>
        <w:spacing w:line="240" w:lineRule="exact"/>
        <w:jc w:val="center"/>
        <w:rPr>
          <w:sz w:val="22"/>
          <w:szCs w:val="22"/>
        </w:rPr>
      </w:pPr>
      <w:r w:rsidRPr="009321BC">
        <w:rPr>
          <w:sz w:val="22"/>
          <w:szCs w:val="22"/>
        </w:rPr>
        <w:t>(</w:t>
      </w:r>
      <w:r w:rsidR="00E131E2" w:rsidRPr="009321BC">
        <w:rPr>
          <w:sz w:val="22"/>
          <w:szCs w:val="22"/>
        </w:rPr>
        <w:t>Only a</w:t>
      </w:r>
      <w:r w:rsidRPr="009321BC">
        <w:rPr>
          <w:rFonts w:hint="eastAsia"/>
          <w:sz w:val="22"/>
          <w:szCs w:val="22"/>
        </w:rPr>
        <w:t>p</w:t>
      </w:r>
      <w:r w:rsidRPr="009321BC">
        <w:rPr>
          <w:sz w:val="22"/>
          <w:szCs w:val="22"/>
        </w:rPr>
        <w:t>plicants with academic qualifications from Myanmar and those who graduated from unregistered Mandarin secondary schools in Northern Thailand are required to submit this Questionnaire)</w:t>
      </w:r>
    </w:p>
    <w:p w14:paraId="3752F85B" w14:textId="73ECD60F" w:rsidR="004803F0" w:rsidRPr="009321BC" w:rsidRDefault="004803F0">
      <w:pPr>
        <w:pStyle w:val="Standard"/>
        <w:spacing w:line="240" w:lineRule="exact"/>
        <w:jc w:val="center"/>
        <w:rPr>
          <w:sz w:val="22"/>
          <w:szCs w:val="22"/>
        </w:rPr>
      </w:pPr>
      <w:r w:rsidRPr="009321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7E3423B" wp14:editId="68EABA58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343650" cy="7797800"/>
                <wp:effectExtent l="0" t="0" r="0" b="0"/>
                <wp:wrapNone/>
                <wp:docPr id="1398496530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7978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8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4"/>
                              <w:gridCol w:w="1977"/>
                              <w:gridCol w:w="1709"/>
                              <w:gridCol w:w="5663"/>
                            </w:tblGrid>
                            <w:tr w:rsidR="00F2040E" w14:paraId="39F2E694" w14:textId="77777777" w:rsidTr="004276A5">
                              <w:trPr>
                                <w:cantSplit/>
                                <w:trHeight w:val="468"/>
                              </w:trPr>
                              <w:tc>
                                <w:tcPr>
                                  <w:tcW w:w="2521" w:type="dxa"/>
                                  <w:gridSpan w:val="2"/>
                                  <w:vMerge w:val="restart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448D0C91" w14:textId="7227F41C" w:rsidR="004803F0" w:rsidRDefault="005C2207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BA1B1F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BA1B1F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hoto</w:t>
                                  </w:r>
                                </w:p>
                                <w:p w14:paraId="416FE16E" w14:textId="57ADE091" w:rsidR="00F2040E" w:rsidRPr="00BA1B1F" w:rsidRDefault="005C2207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BA1B1F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attached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7C281305" w14:textId="0B6DD427" w:rsidR="00F2040E" w:rsidRPr="002B4545" w:rsidRDefault="005C2207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B4545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Chinese Name</w:t>
                                  </w:r>
                                </w:p>
                              </w:tc>
                              <w:tc>
                                <w:tcPr>
                                  <w:tcW w:w="5663" w:type="dxa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286EB3C2" w14:textId="77777777" w:rsidR="00F2040E" w:rsidRPr="002B4545" w:rsidRDefault="00F2040E" w:rsidP="004803F0">
                                  <w:pPr>
                                    <w:pStyle w:val="Standard"/>
                                    <w:spacing w:line="0" w:lineRule="atLeas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40E" w14:paraId="73638618" w14:textId="77777777" w:rsidTr="004276A5">
                              <w:trPr>
                                <w:cantSplit/>
                                <w:trHeight w:val="482"/>
                              </w:trPr>
                              <w:tc>
                                <w:tcPr>
                                  <w:tcW w:w="2521" w:type="dxa"/>
                                  <w:gridSpan w:val="2"/>
                                  <w:vMerge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textDirection w:val="tbRl"/>
                                  <w:vAlign w:val="center"/>
                                </w:tcPr>
                                <w:p w14:paraId="36849215" w14:textId="77777777" w:rsidR="00FD38F6" w:rsidRPr="00BA1B1F" w:rsidRDefault="00FD38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16E51310" w14:textId="3369D1C3" w:rsidR="00F2040E" w:rsidRPr="002B4545" w:rsidRDefault="005C2207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B4545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2B4545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nglish Name</w:t>
                                  </w:r>
                                </w:p>
                              </w:tc>
                              <w:tc>
                                <w:tcPr>
                                  <w:tcW w:w="5663" w:type="dxa"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6D1901B6" w14:textId="77777777" w:rsidR="00F2040E" w:rsidRPr="002B4545" w:rsidRDefault="00F2040E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40E" w14:paraId="072D42D5" w14:textId="77777777" w:rsidTr="004276A5">
                              <w:trPr>
                                <w:cantSplit/>
                                <w:trHeight w:val="468"/>
                              </w:trPr>
                              <w:tc>
                                <w:tcPr>
                                  <w:tcW w:w="2521" w:type="dxa"/>
                                  <w:gridSpan w:val="2"/>
                                  <w:vMerge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textDirection w:val="tbRl"/>
                                  <w:vAlign w:val="center"/>
                                </w:tcPr>
                                <w:p w14:paraId="4C1C44F9" w14:textId="77777777" w:rsidR="00FD38F6" w:rsidRPr="00BA1B1F" w:rsidRDefault="00FD38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738EE0D7" w14:textId="38782DCC" w:rsidR="00F2040E" w:rsidRPr="002B4545" w:rsidRDefault="005C2207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B4545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B4545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5663" w:type="dxa"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4B5496E2" w14:textId="77777777" w:rsidR="00F2040E" w:rsidRPr="002B4545" w:rsidRDefault="00F2040E" w:rsidP="004803F0">
                                  <w:pPr>
                                    <w:pStyle w:val="Standard"/>
                                    <w:spacing w:line="0" w:lineRule="atLeas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40E" w14:paraId="239D3EEB" w14:textId="77777777" w:rsidTr="004276A5"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2521" w:type="dxa"/>
                                  <w:gridSpan w:val="2"/>
                                  <w:vMerge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textDirection w:val="tbRl"/>
                                  <w:vAlign w:val="center"/>
                                </w:tcPr>
                                <w:p w14:paraId="6E6999FA" w14:textId="77777777" w:rsidR="00FD38F6" w:rsidRPr="00BA1B1F" w:rsidRDefault="00FD38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23043E9D" w14:textId="77777777" w:rsidR="005C2207" w:rsidRPr="009321BC" w:rsidRDefault="005C2207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21BC">
                                    <w:rPr>
                                      <w:sz w:val="20"/>
                                      <w:szCs w:val="20"/>
                                    </w:rPr>
                                    <w:t>Examination Area</w:t>
                                  </w:r>
                                </w:p>
                                <w:p w14:paraId="451C7442" w14:textId="0F2B38AE" w:rsidR="005C2207" w:rsidRPr="002B4545" w:rsidRDefault="005C2207" w:rsidP="004803F0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321BC">
                                    <w:rPr>
                                      <w:sz w:val="20"/>
                                      <w:szCs w:val="20"/>
                                    </w:rPr>
                                    <w:t>(Please tick one)</w:t>
                                  </w:r>
                                </w:p>
                              </w:tc>
                              <w:tc>
                                <w:tcPr>
                                  <w:tcW w:w="5663" w:type="dxa"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6FA4E2C9" w14:textId="43A7CEB3" w:rsidR="00721976" w:rsidRPr="00BA1B1F" w:rsidRDefault="00721976">
                                  <w:pPr>
                                    <w:pStyle w:val="Standard"/>
                                    <w:spacing w:line="0" w:lineRule="atLeast"/>
                                    <w:ind w:left="721" w:hanging="72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Myanmar: 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Yangon 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Mandalay 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Myitkyina  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BA1B1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Taunggyi</w:t>
                                  </w:r>
                                </w:p>
                              </w:tc>
                            </w:tr>
                            <w:tr w:rsidR="00F2040E" w14:paraId="2EAD5EE8" w14:textId="77777777" w:rsidTr="004276A5">
                              <w:trPr>
                                <w:cantSplit/>
                                <w:trHeight w:val="198"/>
                              </w:trPr>
                              <w:tc>
                                <w:tcPr>
                                  <w:tcW w:w="2521" w:type="dxa"/>
                                  <w:gridSpan w:val="2"/>
                                  <w:vMerge w:val="restart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6AF6DF30" w14:textId="411F6C54" w:rsidR="00F2040E" w:rsidRPr="00BA1B1F" w:rsidRDefault="005C2207">
                                  <w:pPr>
                                    <w:pStyle w:val="Standarduser"/>
                                    <w:spacing w:line="360" w:lineRule="exact"/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321BC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a 2-inch upper body photo same as Application Form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1BDD1B04" w14:textId="77777777" w:rsidR="00FD38F6" w:rsidRPr="002B4545" w:rsidRDefault="00FD38F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dxa"/>
                                  <w:shd w:val="clear" w:color="auto" w:fill="auto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0C62358F" w14:textId="6617897F" w:rsidR="00721976" w:rsidRPr="00BA1B1F" w:rsidRDefault="00721976">
                                  <w:pPr>
                                    <w:pStyle w:val="Standard"/>
                                    <w:spacing w:line="0" w:lineRule="atLeas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Thailand: 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BA1B1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Northern Thailand</w:t>
                                  </w:r>
                                </w:p>
                              </w:tc>
                            </w:tr>
                            <w:tr w:rsidR="00F2040E" w:rsidRPr="004803F0" w14:paraId="0313FA59" w14:textId="77777777" w:rsidTr="004276A5"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2521" w:type="dxa"/>
                                  <w:gridSpan w:val="2"/>
                                  <w:vMerge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4C1EA759" w14:textId="77777777" w:rsidR="00FD38F6" w:rsidRPr="00BA1B1F" w:rsidRDefault="00FD38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shd w:val="clear" w:color="auto" w:fill="D9D9D9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4F06DC98" w14:textId="0302619A" w:rsidR="00F2040E" w:rsidRPr="002B4545" w:rsidRDefault="00925EEE">
                                  <w:pPr>
                                    <w:pStyle w:val="Standard"/>
                                    <w:spacing w:line="240" w:lineRule="exact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B4545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Overseas Compatriot Student No.:</w:t>
                                  </w:r>
                                </w:p>
                              </w:tc>
                              <w:tc>
                                <w:tcPr>
                                  <w:tcW w:w="5663" w:type="dxa"/>
                                  <w:shd w:val="clear" w:color="auto" w:fill="D9D9D9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vAlign w:val="center"/>
                                </w:tcPr>
                                <w:p w14:paraId="55499633" w14:textId="4F809331" w:rsidR="00F2040E" w:rsidRPr="004803F0" w:rsidRDefault="00925EEE">
                                  <w:pPr>
                                    <w:pStyle w:val="Standard"/>
                                    <w:spacing w:line="440" w:lineRule="exact"/>
                                    <w:jc w:val="right"/>
                                    <w:rPr>
                                      <w:rFonts w:eastAsia="標楷體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4803F0">
                                    <w:rPr>
                                      <w:rFonts w:eastAsia="標楷體"/>
                                      <w:sz w:val="32"/>
                                      <w:szCs w:val="32"/>
                                      <w:vertAlign w:val="subscript"/>
                                    </w:rPr>
                                    <w:t>(to be allocated by the OCAC)</w:t>
                                  </w:r>
                                </w:p>
                              </w:tc>
                            </w:tr>
                            <w:tr w:rsidR="00F2040E" w14:paraId="56FA4AB2" w14:textId="77777777" w:rsidTr="004276A5">
                              <w:trPr>
                                <w:cantSplit/>
                                <w:trHeight w:val="4958"/>
                              </w:trPr>
                              <w:tc>
                                <w:tcPr>
                                  <w:tcW w:w="544" w:type="dxa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  <w:textDirection w:val="tbRl"/>
                                  <w:vAlign w:val="center"/>
                                </w:tcPr>
                                <w:p w14:paraId="3077D750" w14:textId="488632A8" w:rsidR="00F2040E" w:rsidRDefault="00925EEE">
                                  <w:pPr>
                                    <w:pStyle w:val="Standard"/>
                                    <w:spacing w:line="480" w:lineRule="exact"/>
                                    <w:ind w:left="113" w:right="113"/>
                                    <w:jc w:val="center"/>
                                    <w:rPr>
                                      <w:rFonts w:eastAsia="細明體"/>
                                      <w:sz w:val="28"/>
                                      <w:szCs w:val="28"/>
                                    </w:rPr>
                                  </w:pPr>
                                  <w:r w:rsidRPr="00BA1B1F">
                                    <w:rPr>
                                      <w:rFonts w:eastAsia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Matters for Attention</w:t>
                                  </w:r>
                                </w:p>
                              </w:tc>
                              <w:tc>
                                <w:tcPr>
                                  <w:tcW w:w="9349" w:type="dxa"/>
                                  <w:gridSpan w:val="3"/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26" w:type="dxa"/>
                                  </w:tcMar>
                                </w:tcPr>
                                <w:p w14:paraId="1DFB76CA" w14:textId="77777777" w:rsidR="00925EEE" w:rsidRPr="004803F0" w:rsidRDefault="00925EEE" w:rsidP="002B4545">
                                  <w:pPr>
                                    <w:pStyle w:val="Standard"/>
                                    <w:tabs>
                                      <w:tab w:val="left" w:pos="9294"/>
                                    </w:tabs>
                                    <w:spacing w:before="90" w:after="90"/>
                                    <w:ind w:right="395"/>
                                    <w:jc w:val="both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Things to note in Myanmar:</w:t>
                                  </w:r>
                                </w:p>
                                <w:p w14:paraId="5308E518" w14:textId="3194FE29" w:rsidR="00925EEE" w:rsidRPr="008C1FDB" w:rsidRDefault="00925EEE" w:rsidP="002B4545">
                                  <w:pPr>
                                    <w:pStyle w:val="Standard"/>
                                    <w:tabs>
                                      <w:tab w:val="left" w:pos="9294"/>
                                    </w:tabs>
                                    <w:spacing w:before="90" w:after="90"/>
                                    <w:ind w:right="395"/>
                                    <w:jc w:val="both"/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1. The Myanmar Subject Test is scheduled to take place on January 2</w:t>
                                  </w:r>
                                  <w:r w:rsidR="00286A03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, 202</w:t>
                                  </w:r>
                                  <w:r w:rsidR="00286A03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 w:rsidR="00286A03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Monday</w:t>
                                  </w:r>
                                  <w:r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) in principle in five examination cities: Yangon, Mandalay, Myitkyina, and Taunggyi (if the number of applicants in Taunggyi a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nd Yangon is too small, they will be merged into the Mandalay).</w:t>
                                  </w:r>
                                </w:p>
                                <w:p w14:paraId="1749AF06" w14:textId="5F909714" w:rsidR="00925EEE" w:rsidRPr="008C1FDB" w:rsidRDefault="00925EEE" w:rsidP="002B4545">
                                  <w:pPr>
                                    <w:pStyle w:val="Standard"/>
                                    <w:tabs>
                                      <w:tab w:val="left" w:pos="9294"/>
                                    </w:tabs>
                                    <w:spacing w:before="90" w:after="90"/>
                                    <w:ind w:right="395"/>
                                    <w:jc w:val="both"/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2. The examination location and 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issuance of </w:t>
                                  </w:r>
                                  <w:r w:rsidR="00E131E2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exam 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admission ticket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31E2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matters 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will be notified separately by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the application receiving unit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BD6535C" w14:textId="32BE4332" w:rsidR="00925EEE" w:rsidRPr="008C1FDB" w:rsidRDefault="00925EEE" w:rsidP="002B4545">
                                  <w:pPr>
                                    <w:pStyle w:val="Standard"/>
                                    <w:tabs>
                                      <w:tab w:val="left" w:pos="9294"/>
                                    </w:tabs>
                                    <w:spacing w:before="90" w:after="90"/>
                                    <w:ind w:right="395"/>
                                    <w:jc w:val="both"/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3. Candidates 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must bring their </w:t>
                                  </w:r>
                                  <w:r w:rsidR="00E131E2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exam 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admission tickets for the examination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If you require a replacement for your lost </w:t>
                                  </w:r>
                                  <w:r w:rsidR="00E131E2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exam 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admission ticket, please visit the examination office on the day of the test to </w:t>
                                  </w:r>
                                  <w:r w:rsidR="008C1FDB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request reissue</w:t>
                                  </w:r>
                                  <w:r w:rsidR="00DD4F66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1B8A953F" w14:textId="3101CE34" w:rsidR="00F2040E" w:rsidRPr="008C1FDB" w:rsidRDefault="00F2040E" w:rsidP="008C1FDB">
                                  <w:pPr>
                                    <w:pStyle w:val="a6"/>
                                    <w:tabs>
                                      <w:tab w:val="left" w:pos="9294"/>
                                    </w:tabs>
                                    <w:ind w:right="395"/>
                                    <w:jc w:val="both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52D956A" w14:textId="559828CF" w:rsidR="0091405C" w:rsidRPr="008C1FDB" w:rsidRDefault="0091405C" w:rsidP="002B4545">
                                  <w:pPr>
                                    <w:pStyle w:val="Standard"/>
                                    <w:tabs>
                                      <w:tab w:val="left" w:pos="9294"/>
                                    </w:tabs>
                                    <w:spacing w:before="90" w:after="90"/>
                                    <w:ind w:right="395"/>
                                    <w:jc w:val="both"/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Things to note in Northern Thailand:</w:t>
                                  </w:r>
                                </w:p>
                                <w:p w14:paraId="00C9D004" w14:textId="7F9F4529" w:rsidR="0091405C" w:rsidRPr="008C1FDB" w:rsidRDefault="0091405C" w:rsidP="002B4545">
                                  <w:pPr>
                                    <w:pStyle w:val="Standard"/>
                                    <w:tabs>
                                      <w:tab w:val="left" w:pos="9294"/>
                                    </w:tabs>
                                    <w:spacing w:before="90" w:after="90"/>
                                    <w:ind w:right="395"/>
                                    <w:jc w:val="both"/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1. The Myanmar Subject Test is scheduled to take place in </w:t>
                                  </w:r>
                                  <w:r w:rsidR="00286A03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the beginning of 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April, 202</w:t>
                                  </w:r>
                                  <w:r w:rsidR="00286A03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. The examination date, location and issuance of </w:t>
                                  </w:r>
                                  <w:r w:rsidR="00E131E2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exam 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admission ticket </w:t>
                                  </w:r>
                                  <w:r w:rsidR="00E131E2"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matters </w:t>
                                  </w:r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will be notified separately by the application receiving </w:t>
                                  </w:r>
                                  <w:proofErr w:type="gramStart"/>
                                  <w:r w:rsidRPr="008C1FDB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unit..</w:t>
                                  </w:r>
                                  <w:proofErr w:type="gramEnd"/>
                                </w:p>
                                <w:p w14:paraId="2E8C49DC" w14:textId="40F911F2" w:rsidR="00F2040E" w:rsidRPr="0091405C" w:rsidRDefault="0091405C" w:rsidP="002B4545">
                                  <w:pPr>
                                    <w:pStyle w:val="Standard"/>
                                    <w:tabs>
                                      <w:tab w:val="left" w:pos="9294"/>
                                    </w:tabs>
                                    <w:spacing w:before="90" w:after="90"/>
                                    <w:ind w:right="395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 xml:space="preserve">2. </w:t>
                                  </w:r>
                                  <w:r w:rsidR="00E131E2"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 xml:space="preserve">Candidates must bring their </w:t>
                                  </w:r>
                                  <w:r w:rsidR="00E131E2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 xml:space="preserve">exam </w:t>
                                  </w:r>
                                  <w:r w:rsidR="00E131E2"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 xml:space="preserve">admission tickets for the examination. If you require a replacement for your lost </w:t>
                                  </w:r>
                                  <w:r w:rsidR="00E131E2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 xml:space="preserve">exam </w:t>
                                  </w:r>
                                  <w:r w:rsidR="00E131E2"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 xml:space="preserve">admission ticket, please visit the examination office on the day of the test to </w:t>
                                  </w:r>
                                  <w:r w:rsidR="008C1FDB"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request reissue</w:t>
                                  </w:r>
                                  <w:r w:rsidR="00E131E2" w:rsidRPr="004803F0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B107D55" w14:textId="77777777" w:rsidR="00FD38F6" w:rsidRDefault="00FD38F6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423B" id="_x0000_t202" coordsize="21600,21600" o:spt="202" path="m,l,21600r21600,l21600,xe">
                <v:stroke joinstyle="miter"/>
                <v:path gradientshapeok="t" o:connecttype="rect"/>
              </v:shapetype>
              <v:shape id="外框3" o:spid="_x0000_s1026" type="#_x0000_t202" style="position:absolute;left:0;text-align:left;margin-left:448.3pt;margin-top:5.15pt;width:499.5pt;height:614pt;z-index: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b7zgEAAGQDAAAOAAAAZHJzL2Uyb0RvYy54bWysU11u2zAMfh/QOwh6b+zWbX6MOMWKoMOA&#10;YhuQ7QCKLMUCLFGVlNjZAXaEvQ/Y1bZzjJLjtOjehr3QNPmZ/D6SXt71uiUH4bwCU9GrSU6JMBxq&#10;ZXYV/fL54XJOiQ/M1KwFIyp6FJ7erS7eLDtbimtooK2FI1jE+LKzFW1CsGWWed4IzfwErDCYlOA0&#10;C/jqdlntWIfVdZtd5/k068DV1gEX3mN0PSTpKtWXUvDwUUovAmkritxCsi7ZbbTZasnKnWO2UfxE&#10;g/0DC82UwabnUmsWGNk79VcprbgDDzJMOOgMpFRcJA2o5ip/pWbTMCuSFhyOt+cx+f9Xln84fHJE&#10;1bi7YjG/WUxvCxyTYRp39evn998/vhVxRp31JUI3FsGhv4ce8WPcYzBK76XT8YmiCOaxzPE8YdEH&#10;wjE4LW6K6S2mOOZms8VsnqcdZM+fW+fDOwGaRKeiDleYJssOjz4gFYSOkNitNdEaeFBtm5YZk2vm&#10;mwEa01lkP7CMXui3/UnSFuojKsL7xU4NuK+UdHgLFfVPe+YEJe17g8OOhzM6bnS2o4OLtCw8mo3l&#10;ETrQebsPIFXiG3sOjU5UcJVJxuns4q28fE+o559j9QcAAP//AwBQSwMEFAAGAAgAAAAhAFbk0Rbd&#10;AAAACAEAAA8AAABkcnMvZG93bnJldi54bWxMj8FOwzAQRO9I/IO1lbhRp41UNSFOVSE4ISHS9MDR&#10;ibeJ1XgdYrcNf89yguO+Gc3OFLvZDeKKU7CeFKyWCQik1htLnYJj/fq4BRGiJqMHT6jgGwPsyvu7&#10;QufG36jC6yF2gkMo5FpBH+OYSxnaHp0OSz8isXbyk9ORz6mTZtI3DneDXCfJRjptiT/0esTnHtvz&#10;4eIU7D+perFf781HdapsXWcJvW3OSj0s5v0TiIhz/DPDb32uDiV3avyFTBCDAh4SmSYpCFazLGPQ&#10;MFin2xRkWcj/A8ofAAAA//8DAFBLAQItABQABgAIAAAAIQC2gziS/gAAAOEBAAATAAAAAAAAAAAA&#10;AAAAAAAAAABbQ29udGVudF9UeXBlc10ueG1sUEsBAi0AFAAGAAgAAAAhADj9If/WAAAAlAEAAAsA&#10;AAAAAAAAAAAAAAAALwEAAF9yZWxzLy5yZWxzUEsBAi0AFAAGAAgAAAAhADAB5vvOAQAAZAMAAA4A&#10;AAAAAAAAAAAAAAAALgIAAGRycy9lMm9Eb2MueG1sUEsBAi0AFAAGAAgAAAAhAFbk0RbdAAAACAEA&#10;AA8AAAAAAAAAAAAAAAAAKAQAAGRycy9kb3ducmV2LnhtbFBLBQYAAAAABAAEAPMAAAAyBQAAAAA=&#10;" filled="f" stroked="f">
                <v:textbox inset="0,0,0,0">
                  <w:txbxContent>
                    <w:tbl>
                      <w:tblPr>
                        <w:tblW w:w="98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4"/>
                        <w:gridCol w:w="1977"/>
                        <w:gridCol w:w="1709"/>
                        <w:gridCol w:w="5663"/>
                      </w:tblGrid>
                      <w:tr w:rsidR="00F2040E" w14:paraId="39F2E694" w14:textId="77777777" w:rsidTr="004276A5">
                        <w:trPr>
                          <w:cantSplit/>
                          <w:trHeight w:val="468"/>
                        </w:trPr>
                        <w:tc>
                          <w:tcPr>
                            <w:tcW w:w="2521" w:type="dxa"/>
                            <w:gridSpan w:val="2"/>
                            <w:vMerge w:val="restart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448D0C91" w14:textId="7227F41C" w:rsidR="004803F0" w:rsidRDefault="005C2207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BA1B1F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Pr="00BA1B1F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  <w:p w14:paraId="416FE16E" w14:textId="57ADE091" w:rsidR="00F2040E" w:rsidRPr="00BA1B1F" w:rsidRDefault="005C2207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BA1B1F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attached</w:t>
                            </w:r>
                          </w:p>
                        </w:tc>
                        <w:tc>
                          <w:tcPr>
                            <w:tcW w:w="1709" w:type="dxa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7C281305" w14:textId="0B6DD427" w:rsidR="00F2040E" w:rsidRPr="002B4545" w:rsidRDefault="005C2207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B454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Chinese Name</w:t>
                            </w:r>
                          </w:p>
                        </w:tc>
                        <w:tc>
                          <w:tcPr>
                            <w:tcW w:w="5663" w:type="dxa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286EB3C2" w14:textId="77777777" w:rsidR="00F2040E" w:rsidRPr="002B4545" w:rsidRDefault="00F2040E" w:rsidP="004803F0">
                            <w:pPr>
                              <w:pStyle w:val="Standard"/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40E" w14:paraId="73638618" w14:textId="77777777" w:rsidTr="004276A5">
                        <w:trPr>
                          <w:cantSplit/>
                          <w:trHeight w:val="482"/>
                        </w:trPr>
                        <w:tc>
                          <w:tcPr>
                            <w:tcW w:w="2521" w:type="dxa"/>
                            <w:gridSpan w:val="2"/>
                            <w:vMerge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textDirection w:val="tbRl"/>
                            <w:vAlign w:val="center"/>
                          </w:tcPr>
                          <w:p w14:paraId="36849215" w14:textId="77777777" w:rsidR="00FD38F6" w:rsidRPr="00BA1B1F" w:rsidRDefault="00FD3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16E51310" w14:textId="3369D1C3" w:rsidR="00F2040E" w:rsidRPr="002B4545" w:rsidRDefault="005C2207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B4545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2B454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nglish Name</w:t>
                            </w:r>
                          </w:p>
                        </w:tc>
                        <w:tc>
                          <w:tcPr>
                            <w:tcW w:w="5663" w:type="dxa"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6D1901B6" w14:textId="77777777" w:rsidR="00F2040E" w:rsidRPr="002B4545" w:rsidRDefault="00F2040E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40E" w14:paraId="072D42D5" w14:textId="77777777" w:rsidTr="004276A5">
                        <w:trPr>
                          <w:cantSplit/>
                          <w:trHeight w:val="468"/>
                        </w:trPr>
                        <w:tc>
                          <w:tcPr>
                            <w:tcW w:w="2521" w:type="dxa"/>
                            <w:gridSpan w:val="2"/>
                            <w:vMerge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textDirection w:val="tbRl"/>
                            <w:vAlign w:val="center"/>
                          </w:tcPr>
                          <w:p w14:paraId="4C1C44F9" w14:textId="77777777" w:rsidR="00FD38F6" w:rsidRPr="00BA1B1F" w:rsidRDefault="00FD3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738EE0D7" w14:textId="38782DCC" w:rsidR="00F2040E" w:rsidRPr="002B4545" w:rsidRDefault="005C2207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B4545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2B454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5663" w:type="dxa"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4B5496E2" w14:textId="77777777" w:rsidR="00F2040E" w:rsidRPr="002B4545" w:rsidRDefault="00F2040E" w:rsidP="004803F0">
                            <w:pPr>
                              <w:pStyle w:val="Standard"/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40E" w14:paraId="239D3EEB" w14:textId="77777777" w:rsidTr="004276A5">
                        <w:trPr>
                          <w:cantSplit/>
                          <w:trHeight w:val="520"/>
                        </w:trPr>
                        <w:tc>
                          <w:tcPr>
                            <w:tcW w:w="2521" w:type="dxa"/>
                            <w:gridSpan w:val="2"/>
                            <w:vMerge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textDirection w:val="tbRl"/>
                            <w:vAlign w:val="center"/>
                          </w:tcPr>
                          <w:p w14:paraId="6E6999FA" w14:textId="77777777" w:rsidR="00FD38F6" w:rsidRPr="00BA1B1F" w:rsidRDefault="00FD3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23043E9D" w14:textId="77777777" w:rsidR="005C2207" w:rsidRPr="009321BC" w:rsidRDefault="005C2207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21BC">
                              <w:rPr>
                                <w:sz w:val="20"/>
                                <w:szCs w:val="20"/>
                              </w:rPr>
                              <w:t>Examination Area</w:t>
                            </w:r>
                          </w:p>
                          <w:p w14:paraId="451C7442" w14:textId="0F2B38AE" w:rsidR="005C2207" w:rsidRPr="002B4545" w:rsidRDefault="005C2207" w:rsidP="004803F0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21BC">
                              <w:rPr>
                                <w:sz w:val="20"/>
                                <w:szCs w:val="20"/>
                              </w:rPr>
                              <w:t>(Please tick one)</w:t>
                            </w:r>
                          </w:p>
                        </w:tc>
                        <w:tc>
                          <w:tcPr>
                            <w:tcW w:w="5663" w:type="dxa"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6FA4E2C9" w14:textId="43A7CEB3" w:rsidR="00721976" w:rsidRPr="00BA1B1F" w:rsidRDefault="00721976">
                            <w:pPr>
                              <w:pStyle w:val="Standard"/>
                              <w:spacing w:line="0" w:lineRule="atLeast"/>
                              <w:ind w:left="721" w:hanging="72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Myanmar: 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Yangon 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Mandalay 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Myitkyina  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BA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Taunggyi</w:t>
                            </w:r>
                          </w:p>
                        </w:tc>
                      </w:tr>
                      <w:tr w:rsidR="00F2040E" w14:paraId="2EAD5EE8" w14:textId="77777777" w:rsidTr="004276A5">
                        <w:trPr>
                          <w:cantSplit/>
                          <w:trHeight w:val="198"/>
                        </w:trPr>
                        <w:tc>
                          <w:tcPr>
                            <w:tcW w:w="2521" w:type="dxa"/>
                            <w:gridSpan w:val="2"/>
                            <w:vMerge w:val="restart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6AF6DF30" w14:textId="411F6C54" w:rsidR="00F2040E" w:rsidRPr="00BA1B1F" w:rsidRDefault="005C2207">
                            <w:pPr>
                              <w:pStyle w:val="Standarduser"/>
                              <w:spacing w:line="360" w:lineRule="exact"/>
                              <w:jc w:val="center"/>
                              <w:rPr>
                                <w:rFonts w:eastAsia="標楷體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21BC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a 2-inch upper body photo same as Application Form</w:t>
                            </w:r>
                          </w:p>
                        </w:tc>
                        <w:tc>
                          <w:tcPr>
                            <w:tcW w:w="1709" w:type="dxa"/>
                            <w:vMerge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1BDD1B04" w14:textId="77777777" w:rsidR="00FD38F6" w:rsidRPr="002B4545" w:rsidRDefault="00FD38F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3" w:type="dxa"/>
                            <w:shd w:val="clear" w:color="auto" w:fill="auto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0C62358F" w14:textId="6617897F" w:rsidR="00721976" w:rsidRPr="00BA1B1F" w:rsidRDefault="00721976">
                            <w:pPr>
                              <w:pStyle w:val="Standard"/>
                              <w:spacing w:line="0" w:lineRule="atLeas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Thailand: 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BA1B1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Northern Thailand</w:t>
                            </w:r>
                          </w:p>
                        </w:tc>
                      </w:tr>
                      <w:tr w:rsidR="00F2040E" w:rsidRPr="004803F0" w14:paraId="0313FA59" w14:textId="77777777" w:rsidTr="004276A5">
                        <w:trPr>
                          <w:cantSplit/>
                          <w:trHeight w:val="520"/>
                        </w:trPr>
                        <w:tc>
                          <w:tcPr>
                            <w:tcW w:w="2521" w:type="dxa"/>
                            <w:gridSpan w:val="2"/>
                            <w:vMerge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4C1EA759" w14:textId="77777777" w:rsidR="00FD38F6" w:rsidRPr="00BA1B1F" w:rsidRDefault="00FD3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shd w:val="clear" w:color="auto" w:fill="D9D9D9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4F06DC98" w14:textId="0302619A" w:rsidR="00F2040E" w:rsidRPr="002B4545" w:rsidRDefault="00925EEE">
                            <w:pPr>
                              <w:pStyle w:val="Standard"/>
                              <w:spacing w:line="240" w:lineRule="exac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B454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Overseas Compatriot Student No.:</w:t>
                            </w:r>
                          </w:p>
                        </w:tc>
                        <w:tc>
                          <w:tcPr>
                            <w:tcW w:w="5663" w:type="dxa"/>
                            <w:shd w:val="clear" w:color="auto" w:fill="D9D9D9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vAlign w:val="center"/>
                          </w:tcPr>
                          <w:p w14:paraId="55499633" w14:textId="4F809331" w:rsidR="00F2040E" w:rsidRPr="004803F0" w:rsidRDefault="00925EEE">
                            <w:pPr>
                              <w:pStyle w:val="Standard"/>
                              <w:spacing w:line="440" w:lineRule="exact"/>
                              <w:jc w:val="right"/>
                              <w:rPr>
                                <w:rFonts w:eastAsia="標楷體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4803F0">
                              <w:rPr>
                                <w:rFonts w:eastAsia="標楷體"/>
                                <w:sz w:val="32"/>
                                <w:szCs w:val="32"/>
                                <w:vertAlign w:val="subscript"/>
                              </w:rPr>
                              <w:t>(to be allocated by the OCAC)</w:t>
                            </w:r>
                          </w:p>
                        </w:tc>
                      </w:tr>
                      <w:tr w:rsidR="00F2040E" w14:paraId="56FA4AB2" w14:textId="77777777" w:rsidTr="004276A5">
                        <w:trPr>
                          <w:cantSplit/>
                          <w:trHeight w:val="4958"/>
                        </w:trPr>
                        <w:tc>
                          <w:tcPr>
                            <w:tcW w:w="544" w:type="dxa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  <w:textDirection w:val="tbRl"/>
                            <w:vAlign w:val="center"/>
                          </w:tcPr>
                          <w:p w14:paraId="3077D750" w14:textId="488632A8" w:rsidR="00F2040E" w:rsidRDefault="00925EEE">
                            <w:pPr>
                              <w:pStyle w:val="Standard"/>
                              <w:spacing w:line="480" w:lineRule="exact"/>
                              <w:ind w:left="113" w:right="113"/>
                              <w:jc w:val="center"/>
                              <w:rPr>
                                <w:rFonts w:eastAsia="細明體"/>
                                <w:sz w:val="28"/>
                                <w:szCs w:val="28"/>
                              </w:rPr>
                            </w:pPr>
                            <w:r w:rsidRPr="00BA1B1F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Matters for Attention</w:t>
                            </w:r>
                          </w:p>
                        </w:tc>
                        <w:tc>
                          <w:tcPr>
                            <w:tcW w:w="9349" w:type="dxa"/>
                            <w:gridSpan w:val="3"/>
                            <w:tcMar>
                              <w:top w:w="0" w:type="dxa"/>
                              <w:left w:w="30" w:type="dxa"/>
                              <w:bottom w:w="0" w:type="dxa"/>
                              <w:right w:w="26" w:type="dxa"/>
                            </w:tcMar>
                          </w:tcPr>
                          <w:p w14:paraId="1DFB76CA" w14:textId="77777777" w:rsidR="00925EEE" w:rsidRPr="004803F0" w:rsidRDefault="00925EEE" w:rsidP="002B4545">
                            <w:pPr>
                              <w:pStyle w:val="Standard"/>
                              <w:tabs>
                                <w:tab w:val="left" w:pos="9294"/>
                              </w:tabs>
                              <w:spacing w:before="90" w:after="90"/>
                              <w:ind w:right="395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Things to note in Myanmar:</w:t>
                            </w:r>
                          </w:p>
                          <w:p w14:paraId="5308E518" w14:textId="3194FE29" w:rsidR="00925EEE" w:rsidRPr="008C1FDB" w:rsidRDefault="00925EEE" w:rsidP="002B4545">
                            <w:pPr>
                              <w:pStyle w:val="Standard"/>
                              <w:tabs>
                                <w:tab w:val="left" w:pos="9294"/>
                              </w:tabs>
                              <w:spacing w:before="90" w:after="90"/>
                              <w:ind w:right="395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1. The Myanmar Subject Test is scheduled to take place on January 2</w:t>
                            </w:r>
                            <w:r w:rsidR="00286A0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0</w:t>
                            </w:r>
                            <w:r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, 202</w:t>
                            </w:r>
                            <w:r w:rsidR="00286A0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5</w:t>
                            </w:r>
                            <w:r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86A0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Monday</w:t>
                            </w:r>
                            <w:r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) in principle in five examination cities: Yangon, Mandalay, Myitkyina, and Taunggyi (if the number of applicants in Taunggyi a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nd Yangon is too small, they will be merged into the Mandalay).</w:t>
                            </w:r>
                          </w:p>
                          <w:p w14:paraId="1749AF06" w14:textId="5F909714" w:rsidR="00925EEE" w:rsidRPr="008C1FDB" w:rsidRDefault="00925EEE" w:rsidP="002B4545">
                            <w:pPr>
                              <w:pStyle w:val="Standard"/>
                              <w:tabs>
                                <w:tab w:val="left" w:pos="9294"/>
                              </w:tabs>
                              <w:spacing w:before="90" w:after="90"/>
                              <w:ind w:right="395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2. The examination location and 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issuance of </w:t>
                            </w:r>
                            <w:r w:rsidR="00E131E2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exam 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admission ticket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31E2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matters 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will be notified separately by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application receiving unit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D6535C" w14:textId="32BE4332" w:rsidR="00925EEE" w:rsidRPr="008C1FDB" w:rsidRDefault="00925EEE" w:rsidP="002B4545">
                            <w:pPr>
                              <w:pStyle w:val="Standard"/>
                              <w:tabs>
                                <w:tab w:val="left" w:pos="9294"/>
                              </w:tabs>
                              <w:spacing w:before="90" w:after="90"/>
                              <w:ind w:right="395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3. Candidates 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must bring their </w:t>
                            </w:r>
                            <w:r w:rsidR="00E131E2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exam 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admission tickets for the examination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If you require a replacement for your lost </w:t>
                            </w:r>
                            <w:r w:rsidR="00E131E2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exam 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admission ticket, please visit the examination office on the day of the test to </w:t>
                            </w:r>
                            <w:r w:rsidR="008C1FDB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request reissue</w:t>
                            </w:r>
                            <w:r w:rsidR="00DD4F66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8A953F" w14:textId="3101CE34" w:rsidR="00F2040E" w:rsidRPr="008C1FDB" w:rsidRDefault="00F2040E" w:rsidP="008C1FDB">
                            <w:pPr>
                              <w:pStyle w:val="a6"/>
                              <w:tabs>
                                <w:tab w:val="left" w:pos="9294"/>
                              </w:tabs>
                              <w:ind w:right="395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52D956A" w14:textId="559828CF" w:rsidR="0091405C" w:rsidRPr="008C1FDB" w:rsidRDefault="0091405C" w:rsidP="002B4545">
                            <w:pPr>
                              <w:pStyle w:val="Standard"/>
                              <w:tabs>
                                <w:tab w:val="left" w:pos="9294"/>
                              </w:tabs>
                              <w:spacing w:before="90" w:after="90"/>
                              <w:ind w:right="395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Things to note in Northern Thailand:</w:t>
                            </w:r>
                          </w:p>
                          <w:p w14:paraId="00C9D004" w14:textId="7F9F4529" w:rsidR="0091405C" w:rsidRPr="008C1FDB" w:rsidRDefault="0091405C" w:rsidP="002B4545">
                            <w:pPr>
                              <w:pStyle w:val="Standard"/>
                              <w:tabs>
                                <w:tab w:val="left" w:pos="9294"/>
                              </w:tabs>
                              <w:spacing w:before="90" w:after="90"/>
                              <w:ind w:right="395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1. The Myanmar Subject Test is scheduled to take place in </w:t>
                            </w:r>
                            <w:r w:rsidR="00286A03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beginning of 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April, 202</w:t>
                            </w:r>
                            <w:r w:rsidR="00286A03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The examination date, location and issuance of </w:t>
                            </w:r>
                            <w:r w:rsidR="00E131E2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exam 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admission ticket </w:t>
                            </w:r>
                            <w:r w:rsidR="00E131E2"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matters </w:t>
                            </w:r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will be notified separately by the application receiving </w:t>
                            </w:r>
                            <w:proofErr w:type="gramStart"/>
                            <w:r w:rsidRPr="008C1FDB">
                              <w:rPr>
                                <w:rFonts w:eastAsia="標楷體"/>
                                <w:color w:val="000000" w:themeColor="text1"/>
                                <w:sz w:val="22"/>
                                <w:szCs w:val="22"/>
                              </w:rPr>
                              <w:t>unit..</w:t>
                            </w:r>
                            <w:proofErr w:type="gramEnd"/>
                          </w:p>
                          <w:p w14:paraId="2E8C49DC" w14:textId="40F911F2" w:rsidR="00F2040E" w:rsidRPr="0091405C" w:rsidRDefault="0091405C" w:rsidP="002B4545">
                            <w:pPr>
                              <w:pStyle w:val="Standard"/>
                              <w:tabs>
                                <w:tab w:val="left" w:pos="9294"/>
                              </w:tabs>
                              <w:spacing w:before="90" w:after="90"/>
                              <w:ind w:right="395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E131E2"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Candidates must bring their </w:t>
                            </w:r>
                            <w:r w:rsidR="00E131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exam </w:t>
                            </w:r>
                            <w:r w:rsidR="00E131E2"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admission tickets for the examination. If you require a replacement for your lost </w:t>
                            </w:r>
                            <w:r w:rsidR="00E131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exam </w:t>
                            </w:r>
                            <w:r w:rsidR="00E131E2"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admission ticket, please visit the examination office on the day of the test to </w:t>
                            </w:r>
                            <w:r w:rsidR="008C1FDB"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request reissue</w:t>
                            </w:r>
                            <w:r w:rsidR="00E131E2" w:rsidRPr="004803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B107D55" w14:textId="77777777" w:rsidR="00FD38F6" w:rsidRDefault="00FD38F6"/>
                  </w:txbxContent>
                </v:textbox>
                <w10:wrap anchorx="margin"/>
              </v:shape>
            </w:pict>
          </mc:Fallback>
        </mc:AlternateContent>
      </w:r>
    </w:p>
    <w:p w14:paraId="1AA136AB" w14:textId="71CD4BB3" w:rsidR="004803F0" w:rsidRPr="009321BC" w:rsidRDefault="004803F0">
      <w:pPr>
        <w:pStyle w:val="Standard"/>
        <w:spacing w:line="240" w:lineRule="exact"/>
        <w:jc w:val="center"/>
        <w:rPr>
          <w:sz w:val="22"/>
          <w:szCs w:val="22"/>
        </w:rPr>
      </w:pPr>
    </w:p>
    <w:p w14:paraId="3B4E5A19" w14:textId="6C9A3B96" w:rsidR="00F2040E" w:rsidRPr="009321BC" w:rsidRDefault="00F2040E">
      <w:pPr>
        <w:pStyle w:val="Standard"/>
        <w:spacing w:line="240" w:lineRule="exact"/>
        <w:rPr>
          <w:sz w:val="20"/>
          <w:szCs w:val="20"/>
        </w:rPr>
      </w:pPr>
    </w:p>
    <w:sectPr w:rsidR="00F2040E" w:rsidRPr="009321BC">
      <w:pgSz w:w="11906" w:h="16838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7B61" w14:textId="77777777" w:rsidR="00F04CE0" w:rsidRDefault="00F04CE0">
      <w:r>
        <w:separator/>
      </w:r>
    </w:p>
  </w:endnote>
  <w:endnote w:type="continuationSeparator" w:id="0">
    <w:p w14:paraId="64F28A95" w14:textId="77777777" w:rsidR="00F04CE0" w:rsidRDefault="00F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altName w:val="微軟正黑體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1484" w14:textId="77777777" w:rsidR="00F04CE0" w:rsidRDefault="00F04CE0">
      <w:r>
        <w:rPr>
          <w:color w:val="000000"/>
        </w:rPr>
        <w:separator/>
      </w:r>
    </w:p>
  </w:footnote>
  <w:footnote w:type="continuationSeparator" w:id="0">
    <w:p w14:paraId="3B3F70AD" w14:textId="77777777" w:rsidR="00F04CE0" w:rsidRDefault="00F0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06A8"/>
    <w:multiLevelType w:val="multilevel"/>
    <w:tmpl w:val="1512CF46"/>
    <w:styleLink w:val="WWNum3"/>
    <w:lvl w:ilvl="0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422F5411"/>
    <w:multiLevelType w:val="multilevel"/>
    <w:tmpl w:val="D56E9ECE"/>
    <w:styleLink w:val="WWNum1"/>
    <w:lvl w:ilvl="0">
      <w:numFmt w:val="bullet"/>
      <w:lvlText w:val=""/>
      <w:lvlJc w:val="left"/>
      <w:pPr>
        <w:ind w:left="480" w:hanging="480"/>
      </w:pPr>
      <w:rPr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58A278F3"/>
    <w:multiLevelType w:val="multilevel"/>
    <w:tmpl w:val="C9A2DCE8"/>
    <w:styleLink w:val="WW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5F9F0F29"/>
    <w:multiLevelType w:val="multilevel"/>
    <w:tmpl w:val="8F24E6F0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6DC2081E"/>
    <w:multiLevelType w:val="multilevel"/>
    <w:tmpl w:val="1B5E4362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758C3E2C"/>
    <w:multiLevelType w:val="multilevel"/>
    <w:tmpl w:val="C91837B0"/>
    <w:styleLink w:val="WWNum2"/>
    <w:lvl w:ilvl="0">
      <w:numFmt w:val="bullet"/>
      <w:lvlText w:val=""/>
      <w:lvlJc w:val="left"/>
      <w:pPr>
        <w:ind w:left="480" w:hanging="480"/>
      </w:pPr>
      <w:rPr>
        <w:sz w:val="24"/>
        <w:szCs w:val="24"/>
      </w:rPr>
    </w:lvl>
    <w:lvl w:ilvl="1">
      <w:numFmt w:val="bullet"/>
      <w:lvlText w:val=""/>
      <w:lvlJc w:val="left"/>
      <w:pPr>
        <w:ind w:left="960" w:hanging="480"/>
      </w:pPr>
      <w:rPr>
        <w:sz w:val="24"/>
        <w:szCs w:val="24"/>
      </w:r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7D8E179A"/>
    <w:multiLevelType w:val="multilevel"/>
    <w:tmpl w:val="45F8AF2C"/>
    <w:styleLink w:val="WW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0E"/>
    <w:rsid w:val="00034AE6"/>
    <w:rsid w:val="00286A03"/>
    <w:rsid w:val="002B4545"/>
    <w:rsid w:val="004276A5"/>
    <w:rsid w:val="004803F0"/>
    <w:rsid w:val="005C2207"/>
    <w:rsid w:val="006B1DD2"/>
    <w:rsid w:val="00721976"/>
    <w:rsid w:val="00727748"/>
    <w:rsid w:val="007D5EF0"/>
    <w:rsid w:val="008C1FDB"/>
    <w:rsid w:val="008F7D73"/>
    <w:rsid w:val="0091405C"/>
    <w:rsid w:val="00925EEE"/>
    <w:rsid w:val="009321BC"/>
    <w:rsid w:val="009944B0"/>
    <w:rsid w:val="00AA62A6"/>
    <w:rsid w:val="00B54195"/>
    <w:rsid w:val="00BA1B1F"/>
    <w:rsid w:val="00DD4F66"/>
    <w:rsid w:val="00DD716F"/>
    <w:rsid w:val="00E131E2"/>
    <w:rsid w:val="00F04CE0"/>
    <w:rsid w:val="00F2040E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6799"/>
  <w15:docId w15:val="{8A9209AB-C463-A64E-85EF-79887FC2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szCs w:val="24"/>
    </w:rPr>
  </w:style>
  <w:style w:type="paragraph" w:styleId="a6">
    <w:name w:val="Plain Text"/>
    <w:basedOn w:val="Standard"/>
    <w:rPr>
      <w:rFonts w:ascii="細明體" w:eastAsia="細明體" w:hAnsi="細明體" w:cs="細明體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color w:val="auto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character" w:styleId="ac">
    <w:name w:val="Emphasis"/>
    <w:uiPriority w:val="20"/>
    <w:qFormat/>
    <w:rsid w:val="008F7D73"/>
    <w:rPr>
      <w:i/>
      <w:iCs/>
    </w:rPr>
  </w:style>
  <w:style w:type="paragraph" w:styleId="ad">
    <w:name w:val="Revision"/>
    <w:hidden/>
    <w:uiPriority w:val="99"/>
    <w:semiHidden/>
    <w:rsid w:val="006B1DD2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林珍妤</dc:creator>
  <cp:lastModifiedBy>吳婉郡</cp:lastModifiedBy>
  <cp:revision>4</cp:revision>
  <cp:lastPrinted>2024-11-28T06:17:00Z</cp:lastPrinted>
  <dcterms:created xsi:type="dcterms:W3CDTF">2024-11-28T06:16:00Z</dcterms:created>
  <dcterms:modified xsi:type="dcterms:W3CDTF">2024-11-28T06:18:00Z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